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hd w:fill="0B1420" w:val="clear"/>
        <w:spacing w:after="0" w:before="0"/>
      </w:pPr>
      <w:r>
        <w:rPr>
          <w:rFonts w:ascii="Arial" w:cs="Arial" w:eastAsia="Arial" w:hAnsi="Arial"/>
          <w:b/>
          <w:bCs/>
          <w:color w:val="FFFFFF"/>
          <w:sz w:val="34"/>
          <w:szCs w:val="34"/>
        </w:rPr>
        <w:t xml:space="preserve">  ACUERDO DE CONFIDENCIALIDAD (NDA)</w:t>
      </w:r>
    </w:p>
    <w:p>
      <w:pPr>
        <w:shd w:fill="0B1420" w:val="clear"/>
        <w:spacing w:after="300" w:before="0"/>
      </w:pPr>
      <w:r>
        <w:rPr>
          <w:rFonts w:ascii="Arial" w:cs="Arial" w:eastAsia="Arial" w:hAnsi="Arial"/>
          <w:color w:val="9FB3C4"/>
          <w:sz w:val="16"/>
          <w:szCs w:val="16"/>
        </w:rPr>
        <w:t xml:space="preserve">  Protección de información empresarial · Ley 1/2019 de Secretos Empresariales</w:t>
      </w:r>
    </w:p>
    <w:p>
      <w:pPr>
        <w:spacing w:after="140"/>
      </w:pPr>
      <w:r>
        <w:rPr>
          <w:rFonts w:ascii="Arial" w:cs="Arial" w:eastAsia="Arial" w:hAnsi="Arial"/>
          <w:sz w:val="21"/>
          <w:szCs w:val="21"/>
        </w:rPr>
        <w:t xml:space="preserve">En </w:t>
      </w:r>
      <w:r>
        <w:rPr>
          <w:rFonts w:ascii="Arial" w:cs="Arial" w:eastAsia="Arial" w:hAnsi="Arial"/>
          <w:color w:val="0000FF"/>
          <w:sz w:val="21"/>
          <w:szCs w:val="21"/>
        </w:rPr>
        <w:t xml:space="preserve">[ciudad]</w:t>
      </w:r>
      <w:r>
        <w:rPr>
          <w:rFonts w:ascii="Arial" w:cs="Arial" w:eastAsia="Arial" w:hAnsi="Arial"/>
          <w:sz w:val="21"/>
          <w:szCs w:val="21"/>
        </w:rPr>
        <w:t xml:space="preserve">, a </w:t>
      </w:r>
      <w:r>
        <w:rPr>
          <w:rFonts w:ascii="Arial" w:cs="Arial" w:eastAsia="Arial" w:hAnsi="Arial"/>
          <w:color w:val="0000FF"/>
          <w:sz w:val="21"/>
          <w:szCs w:val="21"/>
        </w:rPr>
        <w:t xml:space="preserve">[fecha]</w:t>
      </w:r>
      <w:r>
        <w:rPr>
          <w:rFonts w:ascii="Arial" w:cs="Arial" w:eastAsia="Arial" w:hAnsi="Arial"/>
          <w:sz w:val="21"/>
          <w:szCs w:val="21"/>
        </w:rPr>
        <w:t xml:space="preserve">, entre </w:t>
      </w:r>
      <w:r>
        <w:rPr>
          <w:rFonts w:ascii="Arial" w:cs="Arial" w:eastAsia="Arial" w:hAnsi="Arial"/>
          <w:color w:val="0000FF"/>
          <w:sz w:val="21"/>
          <w:szCs w:val="21"/>
        </w:rPr>
        <w:t xml:space="preserve">[Parte A, NIF]</w:t>
      </w:r>
      <w:r>
        <w:rPr>
          <w:rFonts w:ascii="Arial" w:cs="Arial" w:eastAsia="Arial" w:hAnsi="Arial"/>
          <w:sz w:val="21"/>
          <w:szCs w:val="21"/>
        </w:rPr>
        <w:t xml:space="preserve"> y </w:t>
      </w:r>
      <w:r>
        <w:rPr>
          <w:rFonts w:ascii="Arial" w:cs="Arial" w:eastAsia="Arial" w:hAnsi="Arial"/>
          <w:color w:val="0000FF"/>
          <w:sz w:val="21"/>
          <w:szCs w:val="21"/>
        </w:rPr>
        <w:t xml:space="preserve">[Parte B, NIF]</w:t>
      </w:r>
      <w:r>
        <w:rPr>
          <w:rFonts w:ascii="Arial" w:cs="Arial" w:eastAsia="Arial" w:hAnsi="Arial"/>
          <w:sz w:val="21"/>
          <w:szCs w:val="21"/>
        </w:rPr>
        <w:t xml:space="preserve">, acuerdan:</w:t>
      </w:r>
    </w:p>
    <w:p>
      <w:pPr>
        <w:spacing w:after="140"/>
      </w:pPr>
      <w:r>
        <w:rPr>
          <w:rFonts w:ascii="Arial" w:cs="Arial" w:eastAsia="Arial" w:hAnsi="Arial"/>
          <w:b/>
          <w:bCs/>
          <w:sz w:val="21"/>
          <w:szCs w:val="21"/>
        </w:rPr>
        <w:t xml:space="preserve">1. Información confidencial. </w:t>
      </w:r>
      <w:r>
        <w:rPr>
          <w:rFonts w:ascii="Arial" w:cs="Arial" w:eastAsia="Arial" w:hAnsi="Arial"/>
          <w:sz w:val="21"/>
          <w:szCs w:val="21"/>
        </w:rPr>
        <w:t xml:space="preserve">Tendrá tal carácter toda información técnica, comercial, financiera o de clientes intercambiada con motivo de </w:t>
      </w:r>
      <w:r>
        <w:rPr>
          <w:rFonts w:ascii="Arial" w:cs="Arial" w:eastAsia="Arial" w:hAnsi="Arial"/>
          <w:color w:val="0000FF"/>
          <w:sz w:val="21"/>
          <w:szCs w:val="21"/>
        </w:rPr>
        <w:t xml:space="preserve">[proyecto / relación comercial]</w:t>
      </w:r>
      <w:r>
        <w:rPr>
          <w:rFonts w:ascii="Arial" w:cs="Arial" w:eastAsia="Arial" w:hAnsi="Arial"/>
          <w:sz w:val="21"/>
          <w:szCs w:val="21"/>
        </w:rPr>
        <w:t xml:space="preserve">, en cualquier soporte.</w:t>
      </w:r>
    </w:p>
    <w:p>
      <w:pPr>
        <w:spacing w:after="140"/>
      </w:pPr>
      <w:r>
        <w:rPr>
          <w:rFonts w:ascii="Arial" w:cs="Arial" w:eastAsia="Arial" w:hAnsi="Arial"/>
          <w:b/>
          <w:bCs/>
          <w:sz w:val="21"/>
          <w:szCs w:val="21"/>
        </w:rPr>
        <w:t xml:space="preserve">2. Obligaciones. </w:t>
      </w:r>
      <w:r>
        <w:rPr>
          <w:rFonts w:ascii="Arial" w:cs="Arial" w:eastAsia="Arial" w:hAnsi="Arial"/>
          <w:sz w:val="21"/>
          <w:szCs w:val="21"/>
        </w:rPr>
        <w:t xml:space="preserve">Las partes se comprometen a no divulgar la información a terceros, a usarla solo para la finalidad acordada y a limitar el acceso a las personas estrictamente necesarias.</w:t>
      </w:r>
    </w:p>
    <w:p>
      <w:pPr>
        <w:spacing w:after="140"/>
      </w:pPr>
      <w:r>
        <w:rPr>
          <w:rFonts w:ascii="Arial" w:cs="Arial" w:eastAsia="Arial" w:hAnsi="Arial"/>
          <w:b/>
          <w:bCs/>
          <w:sz w:val="21"/>
          <w:szCs w:val="21"/>
        </w:rPr>
        <w:t xml:space="preserve">3. Excepciones. </w:t>
      </w:r>
      <w:r>
        <w:rPr>
          <w:rFonts w:ascii="Arial" w:cs="Arial" w:eastAsia="Arial" w:hAnsi="Arial"/>
          <w:sz w:val="21"/>
          <w:szCs w:val="21"/>
        </w:rPr>
        <w:t xml:space="preserve">No se considera confidencial la información pública, la conocida previamente de forma legítima o la que deba revelarse por obligación legal.</w:t>
      </w:r>
    </w:p>
    <w:p>
      <w:pPr>
        <w:spacing w:after="140"/>
      </w:pPr>
      <w:r>
        <w:rPr>
          <w:rFonts w:ascii="Arial" w:cs="Arial" w:eastAsia="Arial" w:hAnsi="Arial"/>
          <w:b/>
          <w:bCs/>
          <w:sz w:val="21"/>
          <w:szCs w:val="21"/>
        </w:rPr>
        <w:t xml:space="preserve">4. Duración. </w:t>
      </w:r>
      <w:r>
        <w:rPr>
          <w:rFonts w:ascii="Arial" w:cs="Arial" w:eastAsia="Arial" w:hAnsi="Arial"/>
          <w:sz w:val="21"/>
          <w:szCs w:val="21"/>
        </w:rPr>
        <w:t xml:space="preserve">La obligación de confidencialidad durará </w:t>
      </w:r>
      <w:r>
        <w:rPr>
          <w:rFonts w:ascii="Arial" w:cs="Arial" w:eastAsia="Arial" w:hAnsi="Arial"/>
          <w:color w:val="0000FF"/>
          <w:sz w:val="21"/>
          <w:szCs w:val="21"/>
        </w:rPr>
        <w:t xml:space="preserve">[3]</w:t>
      </w:r>
      <w:r>
        <w:rPr>
          <w:rFonts w:ascii="Arial" w:cs="Arial" w:eastAsia="Arial" w:hAnsi="Arial"/>
          <w:sz w:val="21"/>
          <w:szCs w:val="21"/>
        </w:rPr>
        <w:t xml:space="preserve"> años desde la firma, incluso si finaliza la relación entre las partes.</w:t>
      </w:r>
    </w:p>
    <w:p>
      <w:pPr>
        <w:spacing w:after="140"/>
      </w:pPr>
      <w:r>
        <w:rPr>
          <w:rFonts w:ascii="Arial" w:cs="Arial" w:eastAsia="Arial" w:hAnsi="Arial"/>
          <w:b/>
          <w:bCs/>
          <w:sz w:val="21"/>
          <w:szCs w:val="21"/>
        </w:rPr>
        <w:t xml:space="preserve">5. Consecuencias del incumplimiento. </w:t>
      </w:r>
      <w:r>
        <w:rPr>
          <w:rFonts w:ascii="Arial" w:cs="Arial" w:eastAsia="Arial" w:hAnsi="Arial"/>
          <w:sz w:val="21"/>
          <w:szCs w:val="21"/>
        </w:rPr>
        <w:t xml:space="preserve">El incumplimiento dará derecho a la parte perjudicada a reclamar los daños y perjuicios causados, conforme a la Ley 1/2019 de Secretos Empresariales.</w:t>
      </w:r>
    </w:p>
    <w:p>
      <w:pPr>
        <w:spacing w:after="140"/>
      </w:pPr>
      <w:r>
        <w:rPr>
          <w:rFonts w:ascii="Arial" w:cs="Arial" w:eastAsia="Arial" w:hAnsi="Arial"/>
          <w:color w:val="1A2430"/>
          <w:sz w:val="21"/>
          <w:szCs w:val="21"/>
        </w:rPr>
        <w:t xml:space="preserve"/>
      </w:r>
    </w:p>
    <w:tbl>
      <w:tblPr>
        <w:tblW w:type="dxa" w:w="9000"/>
        <w:tblBorders>
          <w:top w:val="none" w:color="FFFFFF" w:sz="0"/>
          <w:left w:val="none" w:color="FFFFFF" w:sz="0"/>
          <w:bottom w:val="none" w:color="FFFFFF" w:sz="0"/>
          <w:right w:val="none" w:color="FFFFFF" w:sz="0"/>
          <w:insideH w:val="none" w:color="FFFFFF" w:sz="0"/>
          <w:insideV w:val="none" w:color="FFFFFF" w:sz="0"/>
        </w:tblBorders>
      </w:tblPr>
      <w:tblGrid>
        <w:gridCol w:w="4500"/>
        <w:gridCol w:w="4500"/>
      </w:tblGrid>
      <w:tr>
        <w:tc>
          <w:tcPr>
            <w:tcW w:type="dxa" w:w="45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pPr>
              <w:pBdr>
                <w:top w:val="single" w:color="1A2430" w:sz="6"/>
              </w:pBdr>
              <w:spacing w:after="60" w:before="700"/>
            </w:pPr>
            <w:r>
              <w:rPr>
                <w:rFonts w:ascii="Arial" w:cs="Arial" w:eastAsia="Arial" w:hAnsi="Arial"/>
                <w:sz w:val="20"/>
                <w:szCs w:val="20"/>
              </w:rPr>
              <w:t xml:space="preserve">PARTE A — Firma y fecha</w:t>
            </w:r>
          </w:p>
        </w:tc>
        <w:tc>
          <w:tcPr>
            <w:tcW w:type="dxa" w:w="45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pPr>
              <w:pBdr>
                <w:top w:val="single" w:color="1A2430" w:sz="6"/>
              </w:pBdr>
              <w:spacing w:after="60" w:before="700"/>
            </w:pPr>
            <w:r>
              <w:rPr>
                <w:rFonts w:ascii="Arial" w:cs="Arial" w:eastAsia="Arial" w:hAnsi="Arial"/>
                <w:sz w:val="20"/>
                <w:szCs w:val="20"/>
              </w:rPr>
              <w:t xml:space="preserve">PARTE B — Firma y fecha</w:t>
            </w:r>
          </w:p>
        </w:tc>
      </w:tr>
    </w:tbl>
    <w:p>
      <w:pPr>
        <w:pBdr>
          <w:top w:val="single" w:color="56A6C2" w:sz="4"/>
        </w:pBdr>
        <w:spacing w:after="0" w:before="340"/>
      </w:pPr>
      <w:r>
        <w:rPr>
          <w:rFonts w:ascii="Arial" w:cs="Arial" w:eastAsia="Arial" w:hAnsi="Arial"/>
          <w:i/>
          <w:iCs/>
          <w:color w:val="667788"/>
          <w:sz w:val="16"/>
          <w:szCs w:val="16"/>
        </w:rPr>
        <w:t xml:space="preserve">La Ley 1/2019 protege los secretos empresariales solo si el titular ha tomado medidas razonables para mantenerlos en secreto — este acuerdo es precisamente una de esas medidas. Firma un NDA antes de compartir información sensible con colaboradores o proveedores.</w:t>
      </w:r>
    </w:p>
    <w:sectPr>
      <w:footerReference w:type="default" r:id="rId7"/>
      <w:pgSz w:w="11906" w:h="16838" w:orient="portrait"/>
      <w:pgMar w:top="900" w:right="1100" w:bottom="900" w:left="11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jc w:val="center"/>
    </w:pPr>
    <w:r>
      <w:rPr>
        <w:rFonts w:ascii="Arial" w:cs="Arial" w:eastAsia="Arial" w:hAnsi="Arial"/>
        <w:color w:val="667788"/>
        <w:sz w:val="14"/>
        <w:szCs w:val="14"/>
      </w:rPr>
      <w:t xml:space="preserve">Plantilla gratuita de lytsuite.com · Recursos para pymes y autónomos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cs="Arial" w:eastAsia="Arial" w:hAnsi="Arial"/>
        <w:sz w:val="21"/>
        <w:szCs w:val="21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oter" Target="footer1.xml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2026-07-07T19:23:03.432Z</dcterms:created>
  <dcterms:modified xsi:type="dcterms:W3CDTF">2026-07-07T19:23:03.432Z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